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B58" w:rsidRDefault="00300B58" w:rsidP="00300B58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15620" cy="5835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83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B58" w:rsidRDefault="00300B58" w:rsidP="00300B5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:rsidR="00300B58" w:rsidRDefault="00300B58" w:rsidP="00300B58">
      <w:pPr>
        <w:keepNext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0" w:line="240" w:lineRule="auto"/>
        <w:ind w:left="5812" w:hanging="576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300B58" w:rsidRDefault="00300B58" w:rsidP="00300B5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ШІСТДЕСЯТ ДРУГА  СЕСІЯ   СЬОМОГО  СКЛИКАННЯ</w:t>
      </w:r>
    </w:p>
    <w:p w:rsidR="00300B58" w:rsidRDefault="00300B58" w:rsidP="00300B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00B58" w:rsidRDefault="00300B58" w:rsidP="00300B58">
      <w:pPr>
        <w:keepNext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00B58" w:rsidRDefault="00300B58" w:rsidP="00300B58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Я</w:t>
      </w:r>
    </w:p>
    <w:p w:rsidR="00300B58" w:rsidRDefault="00300B58" w:rsidP="00300B58">
      <w:pPr>
        <w:keepNext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</w:p>
    <w:p w:rsidR="00300B58" w:rsidRDefault="00300B58" w:rsidP="00300B58">
      <w:pPr>
        <w:keepNext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</w:t>
      </w:r>
    </w:p>
    <w:p w:rsidR="00300B58" w:rsidRPr="00300B58" w:rsidRDefault="00300B58" w:rsidP="00300B58">
      <w:pPr>
        <w:keepNext/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«</w:t>
      </w:r>
      <w:r w:rsidRPr="00300B5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»  липня  2019 р.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№ 3693 - 62 -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ІІ</w:t>
      </w:r>
    </w:p>
    <w:p w:rsidR="00300B58" w:rsidRDefault="00300B58" w:rsidP="00300B58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00B58" w:rsidRDefault="00300B58" w:rsidP="00300B58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  <w:t xml:space="preserve">Про прийняття документів архівним </w:t>
      </w:r>
    </w:p>
    <w:p w:rsidR="00300B58" w:rsidRDefault="00300B58" w:rsidP="00300B58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  <w:t>відділом Бучанської міської ради</w:t>
      </w:r>
    </w:p>
    <w:p w:rsidR="00300B58" w:rsidRDefault="00300B58" w:rsidP="00300B58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300B58" w:rsidRDefault="00300B58" w:rsidP="00300B58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00B58" w:rsidRPr="00D2341C" w:rsidRDefault="00300B58" w:rsidP="00300B58">
      <w:pPr>
        <w:spacing w:after="0" w:line="240" w:lineRule="auto"/>
        <w:ind w:left="426" w:firstLine="474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З метою забезпечення збереження </w:t>
      </w:r>
      <w:r w:rsidRPr="00621100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архівних документів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територіальної громади міста Буча та</w:t>
      </w:r>
      <w:r w:rsidRPr="00720408">
        <w:rPr>
          <w:lang w:val="uk-UA"/>
        </w:rPr>
        <w:t xml:space="preserve"> </w:t>
      </w:r>
      <w:r w:rsidRPr="00720408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ліквідованих юридичних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720408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фізичних осіб, які територіально відносяться до м. Буча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, відповідно до Законів України, «Про Національний архівний фонд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та архівні установи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», ЦК України,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Правила роботи архівних установ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, затверджених н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аказ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ом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Міністерства юстиції України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від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08.04.2013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р.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за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№ 656/5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,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Порядок приймання-передавання документів Національного архівного фонду та інших архівних документів від однієї архівної установи до іншої,</w:t>
      </w:r>
      <w:r w:rsidRPr="00AD71A5">
        <w:rPr>
          <w:lang w:val="uk-UA"/>
        </w:rPr>
        <w:t xml:space="preserve">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затверджених наказом Міністерства юстиції України від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19.07.2017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р. за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№ 2301/5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, беручи до уваги відповідь Державної архівної служби України від 27.06.2019р. за №2322/01.3/5403/20, «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Основн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правила </w:t>
      </w:r>
      <w:proofErr w:type="spellStart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работ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и</w:t>
      </w:r>
      <w:proofErr w:type="spellEnd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державних 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арх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іві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 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РСР», схвалені колегією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Головархівом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СР 30.11.1983,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наказ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proofErr w:type="spellStart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варх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ва</w:t>
      </w:r>
      <w:proofErr w:type="spellEnd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СР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від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07.12.1983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№ 352, Закони УРСР, які втратили чинність але діяли у відповідний період «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Про місцеві Ради нар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одних депутатів Української РСР 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та місцеве самоврядування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» №533-ХІІ від 07.12.1990р.,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«Про власність» №697-ХІІ від 07.02.1991р., керуючись Законом України «Про місцеве самоврядування в Україні», міська рада </w:t>
      </w:r>
    </w:p>
    <w:p w:rsidR="00300B58" w:rsidRDefault="00300B58" w:rsidP="00300B5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ar-SA"/>
        </w:rPr>
      </w:pPr>
    </w:p>
    <w:p w:rsidR="00300B58" w:rsidRDefault="00300B58" w:rsidP="00300B58">
      <w:p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ar-SA"/>
        </w:rPr>
        <w:t>ВИРІШИЛА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:</w:t>
      </w:r>
    </w:p>
    <w:p w:rsidR="00300B58" w:rsidRPr="008456E2" w:rsidRDefault="00300B58" w:rsidP="00300B5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8"/>
          <w:lang w:val="uk-UA" w:eastAsia="ar-SA"/>
        </w:rPr>
      </w:pPr>
    </w:p>
    <w:p w:rsidR="00300B58" w:rsidRPr="008456E2" w:rsidRDefault="00300B58" w:rsidP="00300B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 xml:space="preserve">Зобов’язати архівний відділ Бучанської міської ради прийняти на зберігання архівні документи, що є комунальною власністю Бучанської міської ради, як правонаступника Бучанської селищної ради, Бучанської селищної Ради народних депутатів, Бучанської селищної ради депутатів трудящих та </w:t>
      </w:r>
      <w:proofErr w:type="spellStart"/>
      <w:r w:rsidRPr="008456E2">
        <w:rPr>
          <w:rFonts w:ascii="Times New Roman" w:hAnsi="Times New Roman" w:cs="Times New Roman"/>
          <w:sz w:val="24"/>
          <w:szCs w:val="28"/>
          <w:lang w:val="uk-UA"/>
        </w:rPr>
        <w:t>Яблунської</w:t>
      </w:r>
      <w:proofErr w:type="spellEnd"/>
      <w:r w:rsidRPr="008456E2">
        <w:rPr>
          <w:rFonts w:ascii="Times New Roman" w:hAnsi="Times New Roman" w:cs="Times New Roman"/>
          <w:sz w:val="24"/>
          <w:szCs w:val="28"/>
          <w:lang w:val="uk-UA"/>
        </w:rPr>
        <w:t xml:space="preserve"> селищної Ради депутатів трудящих.</w:t>
      </w:r>
    </w:p>
    <w:p w:rsidR="00300B58" w:rsidRPr="008456E2" w:rsidRDefault="00300B58" w:rsidP="00300B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>Зобов’язати архівний відділ Бучанської міської ради прийняти на зберігання архівні документи з кадрових питань особового складу ліквідованих юридичних та фізичних осіб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- підприємців</w:t>
      </w:r>
      <w:r w:rsidRPr="008456E2">
        <w:rPr>
          <w:rFonts w:ascii="Times New Roman" w:hAnsi="Times New Roman" w:cs="Times New Roman"/>
          <w:sz w:val="24"/>
          <w:szCs w:val="28"/>
          <w:lang w:val="uk-UA"/>
        </w:rPr>
        <w:t>, які територіально відносяться до м. Буча.</w:t>
      </w:r>
    </w:p>
    <w:p w:rsidR="00300B58" w:rsidRPr="008456E2" w:rsidRDefault="00300B58" w:rsidP="00300B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>Повідомити Державний архів Київської області про прийняте рішення.</w:t>
      </w:r>
    </w:p>
    <w:p w:rsidR="00300B58" w:rsidRPr="008456E2" w:rsidRDefault="00300B58" w:rsidP="00300B5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8"/>
        </w:rPr>
      </w:pPr>
      <w:r w:rsidRPr="008456E2">
        <w:rPr>
          <w:rFonts w:ascii="Times New Roman" w:hAnsi="Times New Roman" w:cs="Times New Roman"/>
          <w:bCs/>
          <w:sz w:val="24"/>
          <w:szCs w:val="28"/>
          <w:lang w:val="uk-UA" w:eastAsia="ar-SA"/>
        </w:rPr>
        <w:t>.</w:t>
      </w:r>
      <w:r w:rsidRPr="008456E2">
        <w:rPr>
          <w:rFonts w:ascii="Times New Roman" w:hAnsi="Times New Roman" w:cs="Times New Roman"/>
          <w:color w:val="000000"/>
          <w:sz w:val="24"/>
          <w:szCs w:val="28"/>
          <w:lang w:val="uk-UA" w:eastAsia="ar-SA"/>
        </w:rPr>
        <w:t>Контроль за виконанням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00B58" w:rsidRDefault="00300B58" w:rsidP="00300B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300B58" w:rsidRDefault="00300B58" w:rsidP="00300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B58" w:rsidRDefault="00300B58" w:rsidP="00300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B58" w:rsidRDefault="00300B58" w:rsidP="00300B5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Міський голова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А.П.Федорук</w:t>
      </w:r>
    </w:p>
    <w:p w:rsidR="004D4E27" w:rsidRDefault="004D4E27" w:rsidP="00300B58"/>
    <w:sectPr w:rsidR="004D4E27" w:rsidSect="00300B5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Cs/>
        <w:sz w:val="24"/>
        <w:szCs w:val="24"/>
        <w:lang w:val="uk-UA" w:eastAsia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6A"/>
    <w:rsid w:val="0025576A"/>
    <w:rsid w:val="00300B5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2052"/>
  <w15:chartTrackingRefBased/>
  <w15:docId w15:val="{4C5AA66A-F53B-4AC5-805D-97F046BC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B58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2019-08-02T11:53:00Z</dcterms:created>
  <dcterms:modified xsi:type="dcterms:W3CDTF">2019-08-02T11:53:00Z</dcterms:modified>
</cp:coreProperties>
</file>